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default" w:ascii="黑体" w:hAnsi="黑体" w:eastAsia="黑体" w:cs="黑体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sz w:val="34"/>
          <w:szCs w:val="34"/>
          <w:lang w:val="en-US" w:eastAsia="zh-CN"/>
        </w:rPr>
        <w:t>附件1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cs="Times New Roman"/>
          <w:sz w:val="34"/>
          <w:szCs w:val="3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1"/>
          <w:sz w:val="44"/>
          <w:szCs w:val="44"/>
          <w:lang w:val="en-US" w:eastAsia="zh-CN"/>
        </w:rPr>
        <w:t>安徽省卫生健康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骨干人才、杰出人才、“青年江淮名医”人选具体条件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黑体" w:hAnsi="黑体" w:eastAsia="黑体" w:cs="黑体"/>
          <w:kern w:val="2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kern w:val="2"/>
          <w:sz w:val="34"/>
          <w:szCs w:val="34"/>
          <w:lang w:val="en-US" w:eastAsia="zh-CN"/>
        </w:rPr>
        <w:t>一、骨干人才（省级单位需具备其中至少5项，市县级单位需具备其中至少4项)：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cs="Times New Roman"/>
          <w:kern w:val="2"/>
          <w:sz w:val="34"/>
          <w:szCs w:val="34"/>
          <w:lang w:val="en-US" w:eastAsia="zh-CN"/>
        </w:rPr>
        <w:t>1.博士学位，或硕士学位且具备高级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职称；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cs="Times New Roman"/>
          <w:kern w:val="2"/>
          <w:sz w:val="34"/>
          <w:szCs w:val="3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主持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省（部）级以上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科研项目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1项，或者市（厅）级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科研项目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</w:pPr>
      <w:r>
        <w:rPr>
          <w:rFonts w:hint="eastAsia" w:cs="Times New Roman"/>
          <w:kern w:val="2"/>
          <w:sz w:val="34"/>
          <w:szCs w:val="34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获得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省（部）级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科学技术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一等奖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（不限排名）、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二等奖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（排名前5）、三等奖（排名前3）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市（厅）级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科学技术一等奖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（排名前5）、二等奖（排名前3）、三等奖（排名第1）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其中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yellow"/>
          <w:lang w:val="en-US" w:eastAsia="zh-CN"/>
        </w:rPr>
      </w:pP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省级</w:t>
      </w:r>
      <w:r>
        <w:rPr>
          <w:rFonts w:hint="default" w:ascii="Times New Roman" w:hAnsi="Times New Roman" w:eastAsia="仿宋_GB2312" w:cs="Times New Roman"/>
          <w:strike w:val="0"/>
          <w:dstrike w:val="0"/>
          <w:kern w:val="2"/>
          <w:sz w:val="34"/>
          <w:szCs w:val="34"/>
          <w:highlight w:val="none"/>
          <w:lang w:val="en-US" w:eastAsia="zh-CN"/>
        </w:rPr>
        <w:t>一级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学会</w:t>
      </w:r>
      <w:r>
        <w:rPr>
          <w:rFonts w:hint="eastAsia" w:cs="Times New Roman"/>
          <w:kern w:val="2"/>
          <w:sz w:val="34"/>
          <w:szCs w:val="34"/>
          <w:highlight w:val="none"/>
          <w:lang w:val="en" w:eastAsia="zh-CN"/>
        </w:rPr>
        <w:t>协会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主办的全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性各类赛事获得二等奖以上奖励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1项，或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三等奖2项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5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.在“中文核心期刊”、“统计源核心期刊”或“SCI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期刊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”上发表论文1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篇(第一作者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或通讯作者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)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6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.参与制定国家标准、行业标准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、安徽省地方标准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担任国家规划教材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编委；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cs="Times New Roman"/>
          <w:kern w:val="2"/>
          <w:sz w:val="34"/>
          <w:szCs w:val="34"/>
          <w:lang w:val="en-US" w:eastAsia="zh-CN"/>
        </w:rPr>
        <w:t>7.实用新型专利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1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项，转化金额≥10万，或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发明专利1项；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8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省内领先的标志性技术1项；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9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担任省级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医学专业学会协会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常务理事以上职务，或任专业委员会副主委或青年主委；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10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获得市（厅）级以上表彰奖励；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11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具有较强的本专业常见病、多发病、疑难危重疾病的防控、诊治技术或护理能力，得到同行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专家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公认。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黑体" w:hAnsi="黑体" w:eastAsia="黑体" w:cs="黑体"/>
          <w:kern w:val="2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kern w:val="2"/>
          <w:sz w:val="34"/>
          <w:szCs w:val="34"/>
          <w:lang w:val="en-US" w:eastAsia="zh-CN"/>
        </w:rPr>
        <w:t>二、杰出人才（省级单位需具备其中至少5项，市县级单位需具备其中至少4项)：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cs="Times New Roman"/>
          <w:kern w:val="2"/>
          <w:sz w:val="34"/>
          <w:szCs w:val="3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</w:rPr>
        <w:t>正高级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职称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</w:rPr>
        <w:t>，或副高级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职称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</w:rPr>
        <w:t>且具有博士学位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2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省级以上临床重点专科负责人或主要成员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3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主持国家级自然科学基金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课题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，或省（部）级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课题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4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获得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省（部）级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科学技术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一等奖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（排名前3）、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二等奖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（排名前2）、三等奖（排名第1）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市（厅）级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</w:rPr>
        <w:t>科学技术一等奖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（排名前2）、二等奖（排名第1）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其中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5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在国家一级学会</w:t>
      </w:r>
      <w:r>
        <w:rPr>
          <w:rFonts w:hint="eastAsia" w:cs="Times New Roman"/>
          <w:kern w:val="2"/>
          <w:sz w:val="34"/>
          <w:szCs w:val="34"/>
          <w:highlight w:val="none"/>
          <w:lang w:val="en" w:eastAsia="zh-CN"/>
        </w:rPr>
        <w:t>协会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主办的全国性各类赛事获得二等奖以上奖励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1项，或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三等奖2项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；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省级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一级学会</w:t>
      </w:r>
      <w:r>
        <w:rPr>
          <w:rFonts w:hint="eastAsia" w:cs="Times New Roman"/>
          <w:kern w:val="2"/>
          <w:sz w:val="34"/>
          <w:szCs w:val="34"/>
          <w:highlight w:val="none"/>
          <w:lang w:val="en" w:eastAsia="zh-CN"/>
        </w:rPr>
        <w:t>协会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主办的全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性各类赛事获得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等奖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2项；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6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.在“中文核心期刊”、“统计源核心期刊”或“SCI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期刊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”上发表论文3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篇(第一作者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或通讯作者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)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7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cs="Times New Roman"/>
          <w:strike w:val="0"/>
          <w:dstrike w:val="0"/>
          <w:kern w:val="2"/>
          <w:sz w:val="34"/>
          <w:szCs w:val="34"/>
          <w:highlight w:val="none"/>
          <w:lang w:val="en-US" w:eastAsia="zh-CN"/>
        </w:rPr>
        <w:t>参与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制定国家标准、行业标准，或牵头制定安徽省地方标准，或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担任国家规划教材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编委；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8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发明专利1项，并签订转化协议书；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9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全国领先的标志性技术1项；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10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担任省级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医学专业学会协会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主委或者副主委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11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获得省（部）级以上表彰奖励；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12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具有较强的本专业常见病、多发病、疑难危重疾病的防控、诊治技术或护理能力，得到同行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专家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公认。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4"/>
          <w:szCs w:val="34"/>
          <w:lang w:val="en-US" w:eastAsia="zh-CN"/>
        </w:rPr>
        <w:t>三、“青年江淮名医”(需具备其中至少5项)：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</w:rPr>
        <w:t>正高级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职称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</w:rPr>
        <w:t>，或副高级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职称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</w:rPr>
        <w:t>且具有博士学位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2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省级以上临床重点专科负责人或主要成员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3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主持国家级自然科学基金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课题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1项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，或省（部）级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课题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4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获得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eastAsia="zh-CN"/>
        </w:rPr>
        <w:t>省（部）级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科学技术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eastAsia="zh-CN"/>
        </w:rPr>
        <w:t>一等奖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（排名前3）、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二等奖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（排名前2）、三等奖（排名第1）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或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eastAsia="zh-CN"/>
        </w:rPr>
        <w:t>市（厅）级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</w:rPr>
        <w:t>科学技术一等奖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（排名前2）、二等奖（排名第1）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其中1项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highlight w:val="none"/>
          <w:lang w:val="en-US" w:eastAsia="zh-CN"/>
        </w:rPr>
        <w:t>5</w:t>
      </w:r>
      <w:r>
        <w:rPr>
          <w:rFonts w:hint="eastAsia" w:cs="Times New Roman"/>
          <w:color w:val="auto"/>
          <w:kern w:val="2"/>
          <w:sz w:val="34"/>
          <w:szCs w:val="34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在国家一级学会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协会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主办的全国性各类赛事获得二等奖以上奖励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1项，或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三等奖2项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；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省级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一级学会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协会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主办的全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省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性各类赛事获得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highlight w:val="none"/>
          <w:lang w:val="en-US" w:eastAsia="zh-CN"/>
        </w:rPr>
        <w:t>等奖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2项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highlight w:val="none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6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.在“中文核心期刊”、“统计源核心期刊”或“SCI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期刊</w:t>
      </w:r>
      <w:r>
        <w:rPr>
          <w:rFonts w:hint="eastAsia" w:cs="Times New Roman"/>
          <w:kern w:val="2"/>
          <w:sz w:val="34"/>
          <w:szCs w:val="34"/>
          <w:lang w:val="en-US" w:eastAsia="zh-CN"/>
        </w:rPr>
        <w:t>”上发表论文3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篇(第一作者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或通讯作者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)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7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cs="Times New Roman"/>
          <w:strike w:val="0"/>
          <w:dstrike w:val="0"/>
          <w:kern w:val="2"/>
          <w:sz w:val="34"/>
          <w:szCs w:val="34"/>
          <w:highlight w:val="none"/>
          <w:lang w:val="en-US" w:eastAsia="zh-CN"/>
        </w:rPr>
        <w:t>参与</w:t>
      </w:r>
      <w:r>
        <w:rPr>
          <w:rFonts w:hint="eastAsia" w:cs="Times New Roman"/>
          <w:kern w:val="2"/>
          <w:sz w:val="34"/>
          <w:szCs w:val="34"/>
          <w:highlight w:val="none"/>
          <w:lang w:val="en-US" w:eastAsia="zh-CN"/>
        </w:rPr>
        <w:t>制定国家标准、行业标准，或牵头制定安徽省地方标准，或</w:t>
      </w:r>
      <w:r>
        <w:rPr>
          <w:rFonts w:hint="default" w:ascii="Times New Roman" w:hAnsi="Times New Roman" w:eastAsia="仿宋_GB2312" w:cs="Times New Roman"/>
          <w:kern w:val="2"/>
          <w:sz w:val="34"/>
          <w:szCs w:val="34"/>
          <w:lang w:val="en-US" w:eastAsia="zh-CN"/>
        </w:rPr>
        <w:t>担任国家规划教材</w:t>
      </w:r>
      <w:r>
        <w:rPr>
          <w:rFonts w:hint="eastAsia" w:ascii="Times New Roman" w:hAnsi="Times New Roman" w:eastAsia="仿宋_GB2312" w:cs="Times New Roman"/>
          <w:kern w:val="2"/>
          <w:sz w:val="34"/>
          <w:szCs w:val="34"/>
          <w:lang w:val="en-US" w:eastAsia="zh-CN"/>
        </w:rPr>
        <w:t>编委；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8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发明专利1项，并签订转化协议书；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9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全国领先的标志性技术1项；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10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担任省级医学专业学会协会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主委或者副主委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11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获得省（部）级以上表彰奖励；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12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具有较强的本专业常见病、多发病、疑难危重疾病的防控、诊治技术能力，得到同行</w:t>
      </w:r>
      <w:r>
        <w:rPr>
          <w:rFonts w:hint="eastAsia" w:cs="Times New Roman"/>
          <w:color w:val="auto"/>
          <w:kern w:val="2"/>
          <w:sz w:val="34"/>
          <w:szCs w:val="34"/>
          <w:lang w:val="en-US" w:eastAsia="zh-CN"/>
        </w:rPr>
        <w:t>专家</w:t>
      </w:r>
      <w:r>
        <w:rPr>
          <w:rFonts w:hint="eastAsia" w:ascii="Times New Roman" w:hAnsi="Times New Roman" w:eastAsia="仿宋_GB2312" w:cs="Times New Roman"/>
          <w:color w:val="auto"/>
          <w:kern w:val="2"/>
          <w:sz w:val="34"/>
          <w:szCs w:val="34"/>
          <w:lang w:val="en-US" w:eastAsia="zh-CN"/>
        </w:rPr>
        <w:t>公认。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680" w:firstLineChars="200"/>
        <w:jc w:val="both"/>
        <w:textAlignment w:val="auto"/>
        <w:rPr>
          <w:rFonts w:hint="default" w:cs="Times New Roman"/>
          <w:kern w:val="2"/>
          <w:sz w:val="34"/>
          <w:szCs w:val="34"/>
          <w:lang w:val="en-US" w:eastAsia="zh-CN"/>
        </w:rPr>
      </w:pPr>
      <w:bookmarkStart w:id="0" w:name="_GoBack"/>
      <w:bookmarkEnd w:id="0"/>
    </w:p>
    <w:sectPr>
      <w:footerReference r:id="rId4" w:type="first"/>
      <w:footerReference r:id="rId3" w:type="default"/>
      <w:pgSz w:w="11906" w:h="16838"/>
      <w:pgMar w:top="1701" w:right="1701" w:bottom="1701" w:left="1701" w:header="851" w:footer="992" w:gutter="0"/>
      <w:pgNumType w:fmt="numberInDash"/>
      <w:cols w:space="0" w:num="1"/>
      <w:titlePg/>
      <w:rtlGutter w:val="0"/>
      <w:docGrid w:type="lines" w:linePitch="44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NSztRK4BAABQ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BQ/F1OrQEAAFA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224"/>
  <w:displayHorizontalDrawingGridEvery w:val="1"/>
  <w:displayVerticalDrawingGridEvery w:val="2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32A30"/>
    <w:rsid w:val="001E2488"/>
    <w:rsid w:val="001E3719"/>
    <w:rsid w:val="00495CAB"/>
    <w:rsid w:val="00555D54"/>
    <w:rsid w:val="00683F8E"/>
    <w:rsid w:val="0093230B"/>
    <w:rsid w:val="00BF3050"/>
    <w:rsid w:val="00DE779B"/>
    <w:rsid w:val="01532A30"/>
    <w:rsid w:val="01DA916E"/>
    <w:rsid w:val="028012A7"/>
    <w:rsid w:val="035C1123"/>
    <w:rsid w:val="06F77C65"/>
    <w:rsid w:val="07AF5930"/>
    <w:rsid w:val="097E77D7"/>
    <w:rsid w:val="0ABD4E6E"/>
    <w:rsid w:val="0EC06621"/>
    <w:rsid w:val="0F5DC869"/>
    <w:rsid w:val="0FF12041"/>
    <w:rsid w:val="10843A31"/>
    <w:rsid w:val="15487912"/>
    <w:rsid w:val="15D55358"/>
    <w:rsid w:val="15FDE440"/>
    <w:rsid w:val="16235D5E"/>
    <w:rsid w:val="17747CEC"/>
    <w:rsid w:val="182A1447"/>
    <w:rsid w:val="190B343D"/>
    <w:rsid w:val="1E360999"/>
    <w:rsid w:val="1ED85A6F"/>
    <w:rsid w:val="1EDE683C"/>
    <w:rsid w:val="1FE8DF9E"/>
    <w:rsid w:val="20895274"/>
    <w:rsid w:val="22474B14"/>
    <w:rsid w:val="236352E7"/>
    <w:rsid w:val="23AE1E69"/>
    <w:rsid w:val="23EF5E28"/>
    <w:rsid w:val="257E4530"/>
    <w:rsid w:val="25ED79A7"/>
    <w:rsid w:val="26404627"/>
    <w:rsid w:val="271E7A7C"/>
    <w:rsid w:val="2B5E328A"/>
    <w:rsid w:val="2BDEFAF6"/>
    <w:rsid w:val="2BFA10F9"/>
    <w:rsid w:val="2C701834"/>
    <w:rsid w:val="2D304EE0"/>
    <w:rsid w:val="2DBD330D"/>
    <w:rsid w:val="2E935FE6"/>
    <w:rsid w:val="2F4B3BEC"/>
    <w:rsid w:val="2F7BB426"/>
    <w:rsid w:val="322E69D9"/>
    <w:rsid w:val="32EB2E03"/>
    <w:rsid w:val="330C25FC"/>
    <w:rsid w:val="33CF2D9D"/>
    <w:rsid w:val="34A909E9"/>
    <w:rsid w:val="357A1803"/>
    <w:rsid w:val="36BFABF5"/>
    <w:rsid w:val="37DBA124"/>
    <w:rsid w:val="38A50319"/>
    <w:rsid w:val="3B034B01"/>
    <w:rsid w:val="3BF91FF3"/>
    <w:rsid w:val="3C0B2B89"/>
    <w:rsid w:val="3CFFEF69"/>
    <w:rsid w:val="3DF5A944"/>
    <w:rsid w:val="3E186C11"/>
    <w:rsid w:val="3EDF2FE4"/>
    <w:rsid w:val="3F495945"/>
    <w:rsid w:val="3F7F66F5"/>
    <w:rsid w:val="3FADAE93"/>
    <w:rsid w:val="3FBF8418"/>
    <w:rsid w:val="3FC53D6C"/>
    <w:rsid w:val="3FE7D098"/>
    <w:rsid w:val="3FF35094"/>
    <w:rsid w:val="41CE7FBD"/>
    <w:rsid w:val="42791D7B"/>
    <w:rsid w:val="429F5E34"/>
    <w:rsid w:val="44FF24FF"/>
    <w:rsid w:val="45E32285"/>
    <w:rsid w:val="47A07432"/>
    <w:rsid w:val="487335D5"/>
    <w:rsid w:val="49F3F064"/>
    <w:rsid w:val="4D3743E7"/>
    <w:rsid w:val="513E04E7"/>
    <w:rsid w:val="514A2B81"/>
    <w:rsid w:val="52127D97"/>
    <w:rsid w:val="521933FB"/>
    <w:rsid w:val="52895535"/>
    <w:rsid w:val="550E27B6"/>
    <w:rsid w:val="55774994"/>
    <w:rsid w:val="55F710D5"/>
    <w:rsid w:val="585C695B"/>
    <w:rsid w:val="58DF2355"/>
    <w:rsid w:val="5B013D81"/>
    <w:rsid w:val="5BFFD7E8"/>
    <w:rsid w:val="5CF91FB8"/>
    <w:rsid w:val="5D451C00"/>
    <w:rsid w:val="5D977B31"/>
    <w:rsid w:val="5E9F939A"/>
    <w:rsid w:val="5EC573A5"/>
    <w:rsid w:val="5EDC516C"/>
    <w:rsid w:val="5EE7396A"/>
    <w:rsid w:val="5F14EB71"/>
    <w:rsid w:val="5FB328B9"/>
    <w:rsid w:val="5FF7B8E5"/>
    <w:rsid w:val="62604A22"/>
    <w:rsid w:val="63FEF0F2"/>
    <w:rsid w:val="652F4FD2"/>
    <w:rsid w:val="654F55B2"/>
    <w:rsid w:val="669D0EDB"/>
    <w:rsid w:val="67F5A4FA"/>
    <w:rsid w:val="67FB6762"/>
    <w:rsid w:val="69A753E3"/>
    <w:rsid w:val="6BBB66E0"/>
    <w:rsid w:val="6BEFA65A"/>
    <w:rsid w:val="6C6D39C5"/>
    <w:rsid w:val="6CD70509"/>
    <w:rsid w:val="6EECE197"/>
    <w:rsid w:val="6F86DA3F"/>
    <w:rsid w:val="6FFEB319"/>
    <w:rsid w:val="6FFEC98A"/>
    <w:rsid w:val="73601A8E"/>
    <w:rsid w:val="7396DDFA"/>
    <w:rsid w:val="74C34D7C"/>
    <w:rsid w:val="74EEFB59"/>
    <w:rsid w:val="75C817BE"/>
    <w:rsid w:val="76FF6463"/>
    <w:rsid w:val="77AA5D7D"/>
    <w:rsid w:val="77EF5D86"/>
    <w:rsid w:val="77EFAE98"/>
    <w:rsid w:val="78394A0A"/>
    <w:rsid w:val="79BBF26B"/>
    <w:rsid w:val="7A586620"/>
    <w:rsid w:val="7A672F80"/>
    <w:rsid w:val="7A7FBB24"/>
    <w:rsid w:val="7BAA0666"/>
    <w:rsid w:val="7BCF4D0F"/>
    <w:rsid w:val="7BCFBEE7"/>
    <w:rsid w:val="7C3F8FBD"/>
    <w:rsid w:val="7C7C893C"/>
    <w:rsid w:val="7CE7C9B9"/>
    <w:rsid w:val="7D7F530B"/>
    <w:rsid w:val="7DE2CB6E"/>
    <w:rsid w:val="7DEFA5B7"/>
    <w:rsid w:val="7DFF4C37"/>
    <w:rsid w:val="7E7FF125"/>
    <w:rsid w:val="7EC706C9"/>
    <w:rsid w:val="7EFE94D8"/>
    <w:rsid w:val="7EFE97B8"/>
    <w:rsid w:val="7EFF14BA"/>
    <w:rsid w:val="7EFF71C0"/>
    <w:rsid w:val="7F2E5C6A"/>
    <w:rsid w:val="7F3B89D4"/>
    <w:rsid w:val="7F7D27D2"/>
    <w:rsid w:val="7F7FB81F"/>
    <w:rsid w:val="7FB12A09"/>
    <w:rsid w:val="7FBE84AC"/>
    <w:rsid w:val="7FCFCEE4"/>
    <w:rsid w:val="7FD12A5F"/>
    <w:rsid w:val="7FD79957"/>
    <w:rsid w:val="7FEE29B8"/>
    <w:rsid w:val="7FF4F299"/>
    <w:rsid w:val="7FF6DC3C"/>
    <w:rsid w:val="7FFD8463"/>
    <w:rsid w:val="7FFD978A"/>
    <w:rsid w:val="7FFF5C64"/>
    <w:rsid w:val="7FFF8BBE"/>
    <w:rsid w:val="7FFFCA08"/>
    <w:rsid w:val="8FEC8355"/>
    <w:rsid w:val="9BFF0EBD"/>
    <w:rsid w:val="9DA73156"/>
    <w:rsid w:val="9FD53C64"/>
    <w:rsid w:val="ABFE253A"/>
    <w:rsid w:val="ADEFD2FD"/>
    <w:rsid w:val="AFFE5E3B"/>
    <w:rsid w:val="B77B8F95"/>
    <w:rsid w:val="B7BB5054"/>
    <w:rsid w:val="B7FD8EA6"/>
    <w:rsid w:val="BBCEA8BA"/>
    <w:rsid w:val="BBD63C2C"/>
    <w:rsid w:val="BBF71B4E"/>
    <w:rsid w:val="BBFFD4B4"/>
    <w:rsid w:val="BD5E4F0B"/>
    <w:rsid w:val="BE7D2221"/>
    <w:rsid w:val="BEBB6C67"/>
    <w:rsid w:val="BF2D60CE"/>
    <w:rsid w:val="BF9D66E7"/>
    <w:rsid w:val="BF9F46B1"/>
    <w:rsid w:val="BFB52670"/>
    <w:rsid w:val="C6338582"/>
    <w:rsid w:val="CAAF081F"/>
    <w:rsid w:val="CAFF437D"/>
    <w:rsid w:val="CDBFE41F"/>
    <w:rsid w:val="CF9DE155"/>
    <w:rsid w:val="CFC6ABBE"/>
    <w:rsid w:val="D3D838C7"/>
    <w:rsid w:val="D7FD1213"/>
    <w:rsid w:val="D96F5A85"/>
    <w:rsid w:val="DB5FD857"/>
    <w:rsid w:val="DBFAD81D"/>
    <w:rsid w:val="DC3D1907"/>
    <w:rsid w:val="DCF54A05"/>
    <w:rsid w:val="DE5DB497"/>
    <w:rsid w:val="DEFF3BF2"/>
    <w:rsid w:val="DF6D7DE5"/>
    <w:rsid w:val="DF72813B"/>
    <w:rsid w:val="DF9FD7E2"/>
    <w:rsid w:val="DFBFFFBB"/>
    <w:rsid w:val="DFC867B7"/>
    <w:rsid w:val="DFD9AF6A"/>
    <w:rsid w:val="DFEB28DD"/>
    <w:rsid w:val="DFFBBFF1"/>
    <w:rsid w:val="DFFE24F7"/>
    <w:rsid w:val="DFFFE8E0"/>
    <w:rsid w:val="E3FF3CA8"/>
    <w:rsid w:val="E5F6C154"/>
    <w:rsid w:val="E67E95F0"/>
    <w:rsid w:val="E9F71EFB"/>
    <w:rsid w:val="EB3CB351"/>
    <w:rsid w:val="EBAF63D8"/>
    <w:rsid w:val="EBF83604"/>
    <w:rsid w:val="EDFC352B"/>
    <w:rsid w:val="EFEBD6A2"/>
    <w:rsid w:val="EFF563A9"/>
    <w:rsid w:val="EFFEFA67"/>
    <w:rsid w:val="F1D5A713"/>
    <w:rsid w:val="F26B8004"/>
    <w:rsid w:val="F2AAC1DD"/>
    <w:rsid w:val="F3DAD107"/>
    <w:rsid w:val="F3FC50BB"/>
    <w:rsid w:val="F3FF1161"/>
    <w:rsid w:val="F5577549"/>
    <w:rsid w:val="F5FC5FF7"/>
    <w:rsid w:val="F63F414F"/>
    <w:rsid w:val="F6E6BB85"/>
    <w:rsid w:val="F6F9D793"/>
    <w:rsid w:val="F79C28C9"/>
    <w:rsid w:val="F79FE31C"/>
    <w:rsid w:val="F7DF6B02"/>
    <w:rsid w:val="F9E3F94D"/>
    <w:rsid w:val="F9EE74B3"/>
    <w:rsid w:val="FAF4C6AA"/>
    <w:rsid w:val="FB375A02"/>
    <w:rsid w:val="FBA90C4F"/>
    <w:rsid w:val="FBD59ED3"/>
    <w:rsid w:val="FBFF8D21"/>
    <w:rsid w:val="FCFFD0D8"/>
    <w:rsid w:val="FD39B282"/>
    <w:rsid w:val="FD5F286C"/>
    <w:rsid w:val="FE5F2D9E"/>
    <w:rsid w:val="FEBBB106"/>
    <w:rsid w:val="FEC3B60C"/>
    <w:rsid w:val="FEE1521E"/>
    <w:rsid w:val="FF3FACC3"/>
    <w:rsid w:val="FF5E25BE"/>
    <w:rsid w:val="FF775AFD"/>
    <w:rsid w:val="FF78B30F"/>
    <w:rsid w:val="FF7D5C4D"/>
    <w:rsid w:val="FFA752BD"/>
    <w:rsid w:val="FFB8C0F3"/>
    <w:rsid w:val="FFCC680A"/>
    <w:rsid w:val="FFDBC84C"/>
    <w:rsid w:val="FFEB0A8F"/>
    <w:rsid w:val="FFFDF2BD"/>
    <w:rsid w:val="FFFEC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4">
    <w:name w:val="heading 2"/>
    <w:next w:val="1"/>
    <w:unhideWhenUsed/>
    <w:qFormat/>
    <w:uiPriority w:val="0"/>
    <w:pPr>
      <w:keepNext/>
      <w:keepLines/>
      <w:widowControl w:val="0"/>
      <w:spacing w:line="413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spacing w:after="120" w:line="480" w:lineRule="auto"/>
      <w:ind w:left="420" w:leftChars="200"/>
    </w:pPr>
    <w:rPr>
      <w:rFonts w:ascii="Calibri" w:hAnsi="Calibri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9">
    <w:name w:val="toc 1"/>
    <w:basedOn w:val="1"/>
    <w:next w:val="1"/>
    <w:semiHidden/>
    <w:qFormat/>
    <w:uiPriority w:val="99"/>
    <w:pPr>
      <w:spacing w:line="240" w:lineRule="atLeast"/>
    </w:pPr>
    <w:rPr>
      <w:rFonts w:ascii="Calibri" w:hAnsi="Calibri" w:eastAsia="仿宋_GB2312" w:cs="Calibri"/>
      <w:sz w:val="28"/>
      <w:szCs w:val="2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3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4">
    <w:name w:val="批注框文本 Char"/>
    <w:basedOn w:val="12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15">
    <w:name w:val="普通(网站)2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250</Words>
  <Characters>1430</Characters>
  <Lines>11</Lines>
  <Paragraphs>3</Paragraphs>
  <TotalTime>49</TotalTime>
  <ScaleCrop>false</ScaleCrop>
  <LinksUpToDate>false</LinksUpToDate>
  <CharactersWithSpaces>1677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2020-09-01T10:45:00Z</dcterms:created>
  <dc:creator>人事司,专业人才管理处,张宁宁</dc:creator>
  <cp:lastModifiedBy>ahwjw011</cp:lastModifiedBy>
  <cp:lastPrinted>2022-05-29T11:12:00Z</cp:lastPrinted>
  <dcterms:modified xsi:type="dcterms:W3CDTF">2022-08-08T12:49:39Z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5337E6226B7B42688532FD60166DFFB1</vt:lpwstr>
  </property>
</Properties>
</file>